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80"/>
      </w:pPr>
      <w:r>
        <w:rPr>
          <w:rFonts w:ascii="Arial" w:hAnsi="Arial"/>
          <w:b/>
          <w:sz w:val="22"/>
        </w:rPr>
        <w:t>Candidate Evaluation Scoring Report: Fractional Technical Project Manager, Enterprise Healthcare Software Implementation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Fractional India-based technical PM role supporting Phase 1 of an enterprise healthcare-oriented SaaS implementation for US stakeholders, with ownership of sprint execution, RAID/dependency tracking, executive reporting, UAT, QA coordination, data migration readiness, training coordination, and AI-assisted distributed delivery governance.</w:t>
      </w:r>
    </w:p>
    <w:p>
      <w:pPr>
        <w:spacing w:before="240" w:after="160"/>
      </w:pPr>
      <w:r>
        <w:rPr>
          <w:rFonts w:ascii="Arial" w:hAnsi="Arial"/>
          <w:b/>
          <w:sz w:val="22"/>
        </w:rPr>
        <w:t>Scoring Notes</w:t>
      </w:r>
    </w:p>
    <w:p>
      <w:pPr>
        <w:spacing w:after="80"/>
        <w:ind w:left="360"/>
      </w:pPr>
      <w:r>
        <w:rPr>
          <w:rFonts w:ascii="Arial" w:hAnsi="Arial"/>
          <w:sz w:val="20"/>
        </w:rPr>
        <w:t>- Scores are based only on the submitted evaluation response, JD, and project context.</w:t>
      </w:r>
    </w:p>
    <w:p>
      <w:pPr>
        <w:spacing w:after="80"/>
        <w:ind w:left="360"/>
      </w:pPr>
      <w:r>
        <w:rPr>
          <w:rFonts w:ascii="Arial" w:hAnsi="Arial"/>
          <w:sz w:val="20"/>
        </w:rPr>
        <w:t>- Missing or generic evidence was scored conservatively, especially for healthcare, HIPAA-adjacent, cloud/API, data migration, and hands-on artifact proof.</w:t>
      </w:r>
    </w:p>
    <w:p>
      <w:pPr>
        <w:spacing w:after="80"/>
        <w:ind w:left="360"/>
      </w:pPr>
      <w:r>
        <w:rPr>
          <w:rFonts w:ascii="Arial" w:hAnsi="Arial"/>
          <w:sz w:val="20"/>
        </w:rPr>
        <w:t>- AI assistance or AI familiarity was not treated as disqualifying; generic or polished answers are used as prompts for ownership and practical-depth probes.</w:t>
      </w:r>
    </w:p>
    <w:p>
      <w:pPr>
        <w:spacing w:before="240" w:after="160"/>
      </w:pPr>
      <w:r>
        <w:rPr>
          <w:rFonts w:ascii="Arial" w:hAnsi="Arial"/>
          <w:b/>
          <w:sz w:val="22"/>
        </w:rPr>
        <w:t>Scoring Parameters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Weight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What It Measures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Enterprise technical delivery and senior ownership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Depth of experience managing complex enterprise software delivery, team coordination, technical dependencies, and senior PM ownership.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US stakeholder and executive communication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Evidence of direct work with US stakeholders, structured meetings, escalation handling, written follow-up, and executive-ready communication.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Execution artifacts and governance discipline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Ownership of WBS, sprint plans, milestone trackers, RAID logs, decision logs, action trackers, UAT trackers, and status reporting.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Healthcare, SaaS, technical risk, and regulated-domain fit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20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Evidence of healthcare/HIPAA-adjacent, sensitive data, APIs, cloud deployment, security/privacy, data migration, auditability, and operational risk awareness.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Agile, QA, UAT, and change-control mechanics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Ability to manage sprint planning/reviews, acceptance criteria, QA/UAT readiness, defect triage, scope-change separation, and signoff workflows.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Distributed fractional delivery, AI-assisted governance, and availability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Fit for 10-hour weekly fractional execution, India-US overlap, coordination of vendors/fractional specialists, and quality controls for AI-assisted delivery.</w:t>
            </w:r>
          </w:p>
        </w:tc>
      </w:tr>
    </w:tbl>
    <w:p>
      <w:pPr>
        <w:spacing w:before="240" w:after="160"/>
      </w:pPr>
      <w:r>
        <w:rPr>
          <w:rFonts w:ascii="Arial" w:hAnsi="Arial"/>
          <w:b/>
          <w:sz w:val="22"/>
        </w:rPr>
        <w:t>Candidate Ranking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Candidate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Overall Score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Recommendation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Rajeev Raghu Raman Arunachalam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70/100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Possible shortlist</w:t>
            </w:r>
          </w:p>
        </w:tc>
      </w:tr>
    </w:tbl>
    <w:p>
      <w:pPr>
        <w:spacing w:before="240" w:after="160"/>
      </w:pPr>
      <w:r>
        <w:rPr>
          <w:rFonts w:ascii="Arial" w:hAnsi="Arial"/>
          <w:b/>
          <w:sz w:val="22"/>
        </w:rPr>
        <w:t>Rajeev Raghu Raman Arunachalam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Strong general enterprise PM, Agile governance, PMO, artifact, RAID, UAT, and executive reporting evidence. Fit is weakened by limited direct healthcare implementation evidence, limited concrete SaaS/API/cloud/data migration examples, and mostly generic descriptions rather than redacted artifacts or specific delivery outcomes.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Parameter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Score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/>
                <w:sz w:val="18"/>
              </w:rPr>
              <w:t>Rationale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Enterprise technical delivery and senior ownership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Describes multi-year enterprise BFSI Agile delivery, PM/Scrum Master work, PMO governance, cross-functional teams, QA, vendors, dashboards, and a 36+ member service delivery context, but examples are high-level and not deeply technical.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US stakeholder and executive communication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States experience with US/global consulting stakeholders, executive-ready reporting, dashboards, action follow-up, time-zone overlap, and structured written summaries; however, specific decisions, escalations, or founder/executive examples are limited.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Execution artifacts and governance discipline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8/10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Provides a strong list of personally maintained artifacts including sprint plan, milestone tracker, RAID log, decision log, client action tracker, UAT tracker, bug/change tracker, status report, and resource plan, with practical descriptions of use.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Healthcare, SaaS, technical risk, and regulated-domain fit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5/10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Shows awareness of PHI/PII, role-based access, audit trails, encryption, security review, data migration validation, test data, UAT ownership, and training readiness, but healthcare experience appears limited to certification/basic concepts and analogous BFSI sensitive-data experience.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Agile, QA, UAT, and change-control mechanics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Explains sprint planning, acceptance criteria, QA/UAT linkage, sprint review, defect/change classification, impact assessment, decision logging, retesting, and signoff workflow. Evidence is relevant but mostly process-level rather than tied to a specific completed project.</w:t>
            </w:r>
          </w:p>
        </w:tc>
      </w:tr>
      <w:tr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Distributed fractional delivery, AI-assisted governance, and availability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7/10</w:t>
            </w:r>
          </w:p>
        </w:tc>
        <w:tc>
          <w:tcPr>
            <w:tcW w:type="dxa" w:w="3120"/>
          </w:tcPr>
          <w:p>
            <w:r/>
            <w:r>
              <w:rPr>
                <w:rFonts w:ascii="Arial" w:hAnsi="Arial"/>
                <w:b w:val="0"/>
                <w:sz w:val="18"/>
              </w:rPr>
              <w:t>Confirms approximately 10 hours per week, India-based US overlap, immediate/early start, distributed team coordination, and sensible AI quality controls. AI-assisted delivery experience is mostly documentation/planning/checklist use rather than managing AI development agents.</w:t>
            </w:r>
          </w:p>
        </w:tc>
      </w:tr>
    </w:tbl>
    <w:p>
      <w:pPr>
        <w:spacing w:before="160" w:after="80"/>
      </w:pPr>
      <w:r>
        <w:rPr>
          <w:rFonts w:ascii="Arial" w:hAnsi="Arial"/>
          <w:b/>
          <w:sz w:val="20"/>
        </w:rPr>
        <w:t>Strong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Strong PM artifact vocabulary and clear understanding of RAID, decision logs, action trackers, UAT trackers, executive status reports, and sprint governance.</w:t>
      </w:r>
    </w:p>
    <w:p>
      <w:pPr>
        <w:spacing w:after="80"/>
        <w:ind w:left="360"/>
      </w:pPr>
      <w:r>
        <w:rPr>
          <w:rFonts w:ascii="Arial" w:hAnsi="Arial"/>
          <w:sz w:val="20"/>
        </w:rPr>
        <w:t>- Relevant enterprise delivery background in regulated/sensitive BFSI and consulting PMO environments.</w:t>
      </w:r>
    </w:p>
    <w:p>
      <w:pPr>
        <w:spacing w:after="80"/>
        <w:ind w:left="360"/>
      </w:pPr>
      <w:r>
        <w:rPr>
          <w:rFonts w:ascii="Arial" w:hAnsi="Arial"/>
          <w:sz w:val="20"/>
        </w:rPr>
        <w:t>- Good structured approach to delayed architecture review, UAT triage, risk communication, and stakeholder follow-up.</w:t>
      </w:r>
    </w:p>
    <w:p>
      <w:pPr>
        <w:spacing w:after="80"/>
        <w:ind w:left="360"/>
      </w:pPr>
      <w:r>
        <w:rPr>
          <w:rFonts w:ascii="Arial" w:hAnsi="Arial"/>
          <w:sz w:val="20"/>
        </w:rPr>
        <w:t>- Availability appears aligned with the fractional 10-hour India-US overlap model.</w:t>
      </w:r>
    </w:p>
    <w:p>
      <w:pPr>
        <w:spacing w:before="160" w:after="80"/>
      </w:pPr>
      <w:r>
        <w:rPr>
          <w:rFonts w:ascii="Arial" w:hAnsi="Arial"/>
          <w:b/>
          <w:sz w:val="20"/>
        </w:rPr>
        <w:t>Weak Points</w:t>
      </w:r>
    </w:p>
    <w:p>
      <w:pPr>
        <w:spacing w:after="80"/>
        <w:ind w:left="360"/>
      </w:pPr>
      <w:r>
        <w:rPr>
          <w:rFonts w:ascii="Arial" w:hAnsi="Arial"/>
          <w:sz w:val="20"/>
        </w:rPr>
        <w:t>- No direct healthcare software implementation, claims/data interchange, or HIPAA-adjacent project example was provided.</w:t>
      </w:r>
    </w:p>
    <w:p>
      <w:pPr>
        <w:spacing w:after="80"/>
        <w:ind w:left="360"/>
      </w:pPr>
      <w:r>
        <w:rPr>
          <w:rFonts w:ascii="Arial" w:hAnsi="Arial"/>
          <w:sz w:val="20"/>
        </w:rPr>
        <w:t>- Limited concrete evidence of managing APIs, AWS/cloud deployment, architecture review, security/privacy review, or data migration beyond checklist-level awareness.</w:t>
      </w:r>
    </w:p>
    <w:p>
      <w:pPr>
        <w:spacing w:after="80"/>
        <w:ind w:left="360"/>
      </w:pPr>
      <w:r>
        <w:rPr>
          <w:rFonts w:ascii="Arial" w:hAnsi="Arial"/>
          <w:sz w:val="20"/>
        </w:rPr>
        <w:t>- Submitted examples are polished and broad but light on specific outcomes, artifacts, dates, metrics, or personally owned decisions.</w:t>
      </w:r>
    </w:p>
    <w:p>
      <w:pPr>
        <w:spacing w:after="80"/>
        <w:ind w:left="360"/>
      </w:pPr>
      <w:r>
        <w:rPr>
          <w:rFonts w:ascii="Arial" w:hAnsi="Arial"/>
          <w:sz w:val="20"/>
        </w:rPr>
        <w:t>- Executive status report was described as a template rather than shown as a redacted sample.</w:t>
      </w:r>
    </w:p>
    <w:p>
      <w:pPr>
        <w:spacing w:before="160" w:after="80"/>
      </w:pPr>
      <w:r>
        <w:rPr>
          <w:rFonts w:ascii="Arial" w:hAnsi="Arial"/>
          <w:b/>
          <w:sz w:val="20"/>
        </w:rPr>
        <w:t>Probe Further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the candidate to walk through one specific enterprise project end to end: team size, sprint cadence, artifacts personally maintained, major risks, decisions driven, and final outcome.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for a live explanation of a RAID log or weekly status report structure, including how risks were escalated and closed.</w:t>
      </w:r>
    </w:p>
    <w:p>
      <w:pPr>
        <w:spacing w:after="80"/>
        <w:ind w:left="360"/>
      </w:pPr>
      <w:r>
        <w:rPr>
          <w:rFonts w:ascii="Arial" w:hAnsi="Arial"/>
          <w:sz w:val="20"/>
        </w:rPr>
        <w:t>- Probe healthcare readiness: how would he handle PHI/PII, audit logging, role-based access, test data, migration validation, and UAT signoff for this PPRS Phase 1 context?</w:t>
      </w:r>
    </w:p>
    <w:p>
      <w:pPr>
        <w:spacing w:after="80"/>
        <w:ind w:left="360"/>
      </w:pPr>
      <w:r>
        <w:rPr>
          <w:rFonts w:ascii="Arial" w:hAnsi="Arial"/>
          <w:sz w:val="20"/>
        </w:rPr>
        <w:t>- Ask him to draft or outline a 1-page executive weekly status report live from a short scenario with architecture, QA, UAT, and client-decision risks.</w:t>
      </w:r>
    </w:p>
    <w:p>
      <w:pPr>
        <w:spacing w:after="80"/>
        <w:ind w:left="360"/>
      </w:pPr>
      <w:r>
        <w:rPr>
          <w:rFonts w:ascii="Arial" w:hAnsi="Arial"/>
          <w:sz w:val="20"/>
        </w:rPr>
        <w:t>- Clarify actual AI-assisted delivery ownership: has he managed developers using AI code-generation tools, and what review gates, test coverage, and security checks did he enforce?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0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