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80"/>
      </w:pPr>
      <w:r>
        <w:rPr>
          <w:rFonts w:ascii="Arial" w:hAnsi="Arial"/>
          <w:b/>
          <w:sz w:val="22"/>
        </w:rPr>
        <w:t>Candidate Evaluation Scoring Report: Fractional Technical Project Manager, Enterprise Healthcare Software Implementation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Senior India-based fractional Technical Project Manager for Pikes Peak PPRS Phase 1, coordinating US executive stakeholders, India-based engineering and specialist resources, AI-assisted delivery, healthcare-oriented SaaS implementation, sprint execution, RAID/dependency tracking, UAT, deployment, training, and executive reporting.</w:t>
      </w:r>
    </w:p>
    <w:p>
      <w:pPr>
        <w:spacing w:before="240" w:after="160"/>
      </w:pPr>
      <w:r>
        <w:rPr>
          <w:rFonts w:ascii="Arial" w:hAnsi="Arial"/>
          <w:b/>
          <w:sz w:val="22"/>
        </w:rPr>
        <w:t>Scoring Notes</w:t>
      </w:r>
    </w:p>
    <w:p>
      <w:pPr>
        <w:spacing w:after="80"/>
        <w:ind w:left="360"/>
      </w:pPr>
      <w:r>
        <w:rPr>
          <w:rFonts w:ascii="Arial" w:hAnsi="Arial"/>
          <w:sz w:val="20"/>
        </w:rPr>
        <w:t>- Scores use only the submitted evaluation responses and supplied JD/project context.</w:t>
      </w:r>
    </w:p>
    <w:p>
      <w:pPr>
        <w:spacing w:after="80"/>
        <w:ind w:left="360"/>
      </w:pPr>
      <w:r>
        <w:rPr>
          <w:rFonts w:ascii="Arial" w:hAnsi="Arial"/>
          <w:sz w:val="20"/>
        </w:rPr>
        <w:t>- Missing attachments or referenced samples not included in the provided content were treated as missing evidence, not as negative facts.</w:t>
      </w:r>
    </w:p>
    <w:p>
      <w:pPr>
        <w:spacing w:after="80"/>
        <w:ind w:left="360"/>
      </w:pPr>
      <w:r>
        <w:rPr>
          <w:rFonts w:ascii="Arial" w:hAnsi="Arial"/>
          <w:sz w:val="20"/>
        </w:rPr>
        <w:t>- AI assistance or AI exposure was not treated as disqualifying; generic or polished responses are flagged only as interview probes for ownership and practical depth.</w:t>
      </w:r>
    </w:p>
    <w:p>
      <w:pPr>
        <w:spacing w:before="240" w:after="160"/>
      </w:pPr>
      <w:r>
        <w:rPr>
          <w:rFonts w:ascii="Arial" w:hAnsi="Arial"/>
          <w:b/>
          <w:sz w:val="22"/>
        </w:rPr>
        <w:t>Scoring Parameters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Weight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What It Measures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Enterprise delivery and domain fit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Relevant senior ownership of complex enterprise, SaaS, regulated, healthcare, data-heavy, or B2B software delivery with clear role, team, duration, and delivery model evidence.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US stakeholder and executive communication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Direct work with US-based founders, executives, product owners, or client stakeholders, including meetings, escalations, decisions, time-zone overlap, and written follow-up.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Execution governance and artifacts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ownership of WBS, sprint plans, milestone trackers, RAID logs, decision logs, UAT/defect/change trackers, resource plans, and executive-ready status reporting.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Healthcare SaaS technical PM depth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Ability to manage risks and dependencies across APIs, cloud environments, security/privacy, access control, audit logging, QA, UAT, data migration, deployment, and training.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Cross-functional coordination and problem solving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Ability to coordinate fractional/vendor resources, clarify ownership, manage risks, communicate bad news, handle delayed architecture, and separate defects from scope changes.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Fractional fit and AI-assisted delivery readiness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Fit for 10-hour/week India-based fractional model, US overlap, start timing, structured follow-through, and practical governance of AI-assisted delivery.</w:t>
            </w:r>
          </w:p>
        </w:tc>
      </w:tr>
    </w:tbl>
    <w:p>
      <w:pPr>
        <w:spacing w:before="240" w:after="160"/>
      </w:pPr>
      <w:r>
        <w:rPr>
          <w:rFonts w:ascii="Arial" w:hAnsi="Arial"/>
          <w:b/>
          <w:sz w:val="22"/>
        </w:rPr>
        <w:t>Candidate Ranking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Candidate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Overall Score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Recommendation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Ashwini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83/100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Possible shortlist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Sajal Sharma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81/100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Possible shortlist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Sagar Bhalla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76/100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Needs careful review</w:t>
            </w:r>
          </w:p>
        </w:tc>
      </w:tr>
    </w:tbl>
    <w:p>
      <w:pPr>
        <w:spacing w:before="240" w:after="160"/>
      </w:pPr>
      <w:r>
        <w:rPr>
          <w:rFonts w:ascii="Arial" w:hAnsi="Arial"/>
          <w:b/>
          <w:sz w:val="22"/>
        </w:rPr>
        <w:t>Ashwini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Strong practical evidence across artifacts, healthcare CRM workflows, US stakeholder communication, sprint/UAT discipline, security-aware delivery, and fractional availability. Main limitation is that the two requested enterprise project examples and sample status report are referenced as attachments but not present in the supplied content.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Score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Rationale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Enterprise delivery and domain fit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Provides relevant examples across healthcare CRM, AI contract management, insurance ticketing, and quotation management, but the requested two-project attachment with team/duration/delivery-model detail was not supplied.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US stakeholder and executive communication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9/10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Current direct work with US founder/executive team, weekly reviews, roadmap/planning sessions, decision meetings, written follow-up, and escalations are clearly described.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Execution governance and artifacts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Lists broad artifact ownership and explains use of WBS, sprint plans, RAID, decision registers, resource plans, UAT, defect/change trackers, release plans, and executive reports; sample report attachment was not available.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Healthcare SaaS technical PM depth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9/10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Strong risk/dependency coverage for architecture, APIs, cloud readiness, access control, audit logging, migration, QA/UAT, deployment, training, and healthcare CRM data controls.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Cross-functional coordination and problem solving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9/10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Gives concrete examples of vendor coordination, SSO dependency escalation, delayed architecture response, and UAT change-control handling.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Fractional fit and AI-assisted delivery readiness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Commits 12-15 hours weekly with 8-11 PM IST overlap and start within 2 business days; AI experience is more AI-enabled product delivery than managing AI code-generation workflows.</w:t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sz w:val="20"/>
        </w:rPr>
        <w:t>Strong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Clear fit with US-facing fractional delivery model and structured written follow-up.</w:t>
      </w:r>
    </w:p>
    <w:p>
      <w:pPr>
        <w:spacing w:after="80"/>
        <w:ind w:left="360"/>
      </w:pPr>
      <w:r>
        <w:rPr>
          <w:rFonts w:ascii="Arial" w:hAnsi="Arial"/>
          <w:sz w:val="20"/>
        </w:rPr>
        <w:t>- Strong healthcare-adjacent SaaS awareness, including RBAC, masking, auditability, API controls, migration reconciliation, QA/UAT, and penetration testing.</w:t>
      </w:r>
    </w:p>
    <w:p>
      <w:pPr>
        <w:spacing w:after="80"/>
        <w:ind w:left="360"/>
      </w:pPr>
      <w:r>
        <w:rPr>
          <w:rFonts w:ascii="Arial" w:hAnsi="Arial"/>
          <w:sz w:val="20"/>
        </w:rPr>
        <w:t>- Good practical delivery judgment in escalation, sprint acceptance, and UAT scope-control examples.</w:t>
      </w:r>
    </w:p>
    <w:p>
      <w:pPr>
        <w:spacing w:before="160" w:after="80"/>
      </w:pPr>
      <w:r>
        <w:rPr>
          <w:rFonts w:ascii="Arial" w:hAnsi="Arial"/>
          <w:b/>
          <w:sz w:val="20"/>
        </w:rPr>
        <w:t>Weak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Requested two enterprise project examples were referenced as an attachment but not included in the supplied content.</w:t>
      </w:r>
    </w:p>
    <w:p>
      <w:pPr>
        <w:spacing w:after="80"/>
        <w:ind w:left="360"/>
      </w:pPr>
      <w:r>
        <w:rPr>
          <w:rFonts w:ascii="Arial" w:hAnsi="Arial"/>
          <w:sz w:val="20"/>
        </w:rPr>
        <w:t>- Executive status report sample was referenced but not included, so quality of actual artifact cannot be verified here.</w:t>
      </w:r>
    </w:p>
    <w:p>
      <w:pPr>
        <w:spacing w:after="80"/>
        <w:ind w:left="360"/>
      </w:pPr>
      <w:r>
        <w:rPr>
          <w:rFonts w:ascii="Arial" w:hAnsi="Arial"/>
          <w:sz w:val="20"/>
        </w:rPr>
        <w:t>- AI-assisted development governance experience is narrower than the project context, which includes AI agents across documentation, cloud, development, testing, review, and training.</w:t>
      </w:r>
    </w:p>
    <w:p>
      <w:pPr>
        <w:spacing w:before="160" w:after="80"/>
      </w:pPr>
      <w:r>
        <w:rPr>
          <w:rFonts w:ascii="Arial" w:hAnsi="Arial"/>
          <w:b/>
          <w:sz w:val="20"/>
        </w:rPr>
        <w:t>Probe Further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her to walk through one complete enterprise project from the missing attachment: domain, team size, duration, delivery model, exact ownership, artifacts maintained, and final outcome.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for a live walkthrough of a redacted weekly executive status report, including how she decided RAG status and escalations.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how she would govern AI agents producing code, tests, security review notes, and training materials when she is not the technical lead.</w:t>
      </w:r>
    </w:p>
    <w:p>
      <w:pPr>
        <w:spacing w:before="240" w:after="160"/>
      </w:pPr>
      <w:r>
        <w:rPr>
          <w:rFonts w:ascii="Arial" w:hAnsi="Arial"/>
          <w:b/>
          <w:sz w:val="22"/>
        </w:rPr>
        <w:t>Sajal Sharma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Strong senior enterprise delivery and governance background, with large regulated government and financial services programs, strong artifact/process coverage, and relevant risk framing. Healthcare-specific implementation evidence is weaker than Ashwini and Sagar, and several answers are polished and broad, so interview should test hands-on ownership.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Score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Rationale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Enterprise delivery and domain fit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9/10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Provides two substantial enterprise programs with domains, roles, durations, delivery models, team scale, sensitive data, integrations, UAT, release planning, and governance responsibilities.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US stakeholder and executive communication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Describes extensive US stakeholder and executive governance experience, including steering reviews, milestone planning, risk escalations, release approvals, and offshore follow-up.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Execution governance and artifacts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9/10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Strong list of personally owned artifacts and clear executive status report structure with RAG, risks, dependencies, decisions, resources, and escalations.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Healthcare SaaS technical PM depth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Good coverage of architecture, environments, access, audit logging, APIs, migration, QA/UAT, and training, but direct healthcare/HIPAA evidence is limited to assessments; strongest domain evidence is government and financial services.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Cross-functional coordination and problem solving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Strong governance approach using RACI, RAID, action logs, decision logs, escalation paths, and change-control triage, though examples are relatively high-level.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Fractional fit and AI-assisted delivery readiness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Shows AI governance principles and recent AI consulting exposure, but the provided content is truncated before availability/start confirmation, so fractional fit cannot be fully verified.</w:t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sz w:val="20"/>
        </w:rPr>
        <w:t>Strong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Strong senior-scale enterprise governance experience with large multi-vendor and global delivery programs.</w:t>
      </w:r>
    </w:p>
    <w:p>
      <w:pPr>
        <w:spacing w:after="80"/>
        <w:ind w:left="360"/>
      </w:pPr>
      <w:r>
        <w:rPr>
          <w:rFonts w:ascii="Arial" w:hAnsi="Arial"/>
          <w:sz w:val="20"/>
        </w:rPr>
        <w:t>- Clear understanding of executive reporting, RAID, release governance, UAT, change control, and operational readiness.</w:t>
      </w:r>
    </w:p>
    <w:p>
      <w:pPr>
        <w:spacing w:after="80"/>
        <w:ind w:left="360"/>
      </w:pPr>
      <w:r>
        <w:rPr>
          <w:rFonts w:ascii="Arial" w:hAnsi="Arial"/>
          <w:sz w:val="20"/>
        </w:rPr>
        <w:t>- Good regulated-domain instincts around auditability, controlled releases, traceability, and stakeholder approvals.</w:t>
      </w:r>
    </w:p>
    <w:p>
      <w:pPr>
        <w:spacing w:before="160" w:after="80"/>
      </w:pPr>
      <w:r>
        <w:rPr>
          <w:rFonts w:ascii="Arial" w:hAnsi="Arial"/>
          <w:b/>
          <w:sz w:val="20"/>
        </w:rPr>
        <w:t>Weak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Direct healthcare implementation evidence is limited compared with the role’s healthcare SaaS context.</w:t>
      </w:r>
    </w:p>
    <w:p>
      <w:pPr>
        <w:spacing w:after="80"/>
        <w:ind w:left="360"/>
      </w:pPr>
      <w:r>
        <w:rPr>
          <w:rFonts w:ascii="Arial" w:hAnsi="Arial"/>
          <w:sz w:val="20"/>
        </w:rPr>
        <w:t>- Availability and start-date answer is not visible in the supplied content, so fit for the 10-hour/week model is incomplete.</w:t>
      </w:r>
    </w:p>
    <w:p>
      <w:pPr>
        <w:spacing w:after="80"/>
        <w:ind w:left="360"/>
      </w:pPr>
      <w:r>
        <w:rPr>
          <w:rFonts w:ascii="Arial" w:hAnsi="Arial"/>
          <w:sz w:val="20"/>
        </w:rPr>
        <w:t>- Some responses are broad and highly polished; practical ownership depth should be verified.</w:t>
      </w:r>
    </w:p>
    <w:p>
      <w:pPr>
        <w:spacing w:before="160" w:after="80"/>
      </w:pPr>
      <w:r>
        <w:rPr>
          <w:rFonts w:ascii="Arial" w:hAnsi="Arial"/>
          <w:b/>
          <w:sz w:val="20"/>
        </w:rPr>
        <w:t>Probe Further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him to walk through the Defence Pension program artifacts he personally maintained, especially RAID, decision log, UAT tracker, and executive report examples.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for a concrete healthcare-oriented scenario: how he would handle PHI/PII boundaries, access controls, audit logging, and data migration validation in the first two sprints.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him to reproduce a one-page weekly status report live from a hypothetical delayed architecture/security review scenario.</w:t>
      </w:r>
    </w:p>
    <w:p>
      <w:pPr>
        <w:spacing w:before="240" w:after="160"/>
      </w:pPr>
      <w:r>
        <w:rPr>
          <w:rFonts w:ascii="Arial" w:hAnsi="Arial"/>
          <w:b/>
          <w:sz w:val="22"/>
        </w:rPr>
        <w:t>Sagar Bhalla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Good apparent match on healthcare EHR implementation, API/interface awareness, Jira use, AI-assisted delivery controls, and strong availability. Responses are concise but often generic, with missing specifics on duration, exact team scale, client/stakeholder detail, and actual artifacts, so shortlist only if interview confirms ownership and depth.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Score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Rationale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Enterprise delivery and domain fit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Includes EPIC-based EHR and AI/blockchain LMS examples with relevant responsibilities, but lacks duration, exact role depth, team size, delivery outcome, and more detailed enterprise evidence.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US stakeholder and executive communication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States regular US founder/product owner/stakeholder engagement, demos, status meetings, overlap, and written follow-ups, but provides few specific decisions or escalations.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Execution governance and artifacts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Lists relevant artifacts and gives standard status report and sprint process descriptions; evidence is adequate but not deeply grounded in a specific artifact sample.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Healthcare SaaS technical PM depth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Healthcare EHR experience plus good first-two-week risk coverage across architecture, cloud, APIs, permissions, test environments, data migration, UAT, training, access controls, audit logging, and data handling.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Cross-functional coordination and problem solving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Shows reasonable handling of vendor coordination, RACI/action registers, delayed integration risk, architecture delay, and UAT scope triage, but examples remain high-level.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Fractional fit and AI-assisted delivery readiness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Commits 25-30 hours weekly, 3-4 hours US overlap, immediate start, and describes AI review gates, code reviews, QA validation, and acceptance testing.</w:t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sz w:val="20"/>
        </w:rPr>
        <w:t>Strong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Most direct healthcare system example among the visible responses through an EPIC-based EHR implementation.</w:t>
      </w:r>
    </w:p>
    <w:p>
      <w:pPr>
        <w:spacing w:after="80"/>
        <w:ind w:left="360"/>
      </w:pPr>
      <w:r>
        <w:rPr>
          <w:rFonts w:ascii="Arial" w:hAnsi="Arial"/>
          <w:sz w:val="20"/>
        </w:rPr>
        <w:t>- Comfortable with APIs, access control, audit requirements, UAT, deployment readiness, Jira configuration, and AI-assisted delivery review gates.</w:t>
      </w:r>
    </w:p>
    <w:p>
      <w:pPr>
        <w:spacing w:after="80"/>
        <w:ind w:left="360"/>
      </w:pPr>
      <w:r>
        <w:rPr>
          <w:rFonts w:ascii="Arial" w:hAnsi="Arial"/>
          <w:sz w:val="20"/>
        </w:rPr>
        <w:t>- Availability exceeds the requested 10 hours per week and includes US overlap.</w:t>
      </w:r>
    </w:p>
    <w:p>
      <w:pPr>
        <w:spacing w:before="160" w:after="80"/>
      </w:pPr>
      <w:r>
        <w:rPr>
          <w:rFonts w:ascii="Arial" w:hAnsi="Arial"/>
          <w:b/>
          <w:sz w:val="20"/>
        </w:rPr>
        <w:t>Weak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Responses are sparse compared with stronger candidates and lack dates, team scale, delivery outcomes, and exact personal ownership details.</w:t>
      </w:r>
    </w:p>
    <w:p>
      <w:pPr>
        <w:spacing w:after="80"/>
        <w:ind w:left="360"/>
      </w:pPr>
      <w:r>
        <w:rPr>
          <w:rFonts w:ascii="Arial" w:hAnsi="Arial"/>
          <w:sz w:val="20"/>
        </w:rPr>
        <w:t>- US stakeholder examples are generalized and do not show specific executive decisions or escalations handled.</w:t>
      </w:r>
    </w:p>
    <w:p>
      <w:pPr>
        <w:spacing w:after="80"/>
        <w:ind w:left="360"/>
      </w:pPr>
      <w:r>
        <w:rPr>
          <w:rFonts w:ascii="Arial" w:hAnsi="Arial"/>
          <w:sz w:val="20"/>
        </w:rPr>
        <w:t>- Artifact evidence is described rather than demonstrated; no redacted sample or detailed structure beyond standard sections.</w:t>
      </w:r>
    </w:p>
    <w:p>
      <w:pPr>
        <w:spacing w:before="160" w:after="80"/>
      </w:pPr>
      <w:r>
        <w:rPr>
          <w:rFonts w:ascii="Arial" w:hAnsi="Arial"/>
          <w:b/>
          <w:sz w:val="20"/>
        </w:rPr>
        <w:t>Probe Further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him to walk through the EPIC-based EHR project in detail: duration, team size, interfaces, his exact authority, artifacts owned, risks escalated, and final implementation outcome.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him to show how he configured Jira for RAID, dependencies, UAT defects, and executive reporting, or recreate a small board/reporting structure live.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for a specific example where AI-generated code or test output was rejected or corrected, and how accountability was maintained.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0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